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1423AB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2EA68073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Doküman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No:</w:t>
            </w:r>
            <w:r w:rsidR="00091DAA">
              <w:rPr>
                <w:rFonts w:ascii="Times New Roman" w:hAnsi="Times New Roman"/>
                <w:sz w:val="20"/>
                <w:szCs w:val="20"/>
              </w:rPr>
              <w:t>İMD</w:t>
            </w:r>
            <w:proofErr w:type="gramEnd"/>
            <w:r w:rsidR="00091DAA">
              <w:rPr>
                <w:rFonts w:ascii="Times New Roman" w:hAnsi="Times New Roman"/>
                <w:sz w:val="20"/>
                <w:szCs w:val="20"/>
              </w:rPr>
              <w:t>0</w:t>
            </w:r>
            <w:r w:rsidR="000D18D1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14:paraId="5C585D17" w14:textId="23F02EEB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İlk Yayın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  <w:r w:rsidR="00091DA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 :</w:t>
            </w:r>
            <w:proofErr w:type="gramEnd"/>
          </w:p>
          <w:p w14:paraId="5AF76F3A" w14:textId="23B2A6FE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091DA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0D18D1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0D18D1" w:rsidRPr="00747E66" w:rsidRDefault="000D18D1" w:rsidP="000D1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1CAECB00" w:rsidR="000D18D1" w:rsidRPr="00B37269" w:rsidRDefault="000D18D1" w:rsidP="000D1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Muhasebe ve Üyelik İşlemleri Birimi</w:t>
            </w:r>
          </w:p>
        </w:tc>
      </w:tr>
      <w:tr w:rsidR="000D18D1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0D18D1" w:rsidRPr="00747E66" w:rsidRDefault="000D18D1" w:rsidP="000D1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47CAC9D4" w:rsidR="000D18D1" w:rsidRPr="00B37269" w:rsidRDefault="000D18D1" w:rsidP="000D1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Tahsilat İşlemleri Birimi,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Üyelik İşlemleri Birimi, </w:t>
            </w:r>
            <w:r>
              <w:rPr>
                <w:rFonts w:ascii="Times New Roman" w:hAnsi="Times New Roman"/>
                <w:sz w:val="20"/>
                <w:szCs w:val="20"/>
              </w:rPr>
              <w:t>Satın Alma ve Harcama Birimi</w:t>
            </w:r>
          </w:p>
        </w:tc>
      </w:tr>
      <w:tr w:rsidR="000D18D1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0D18D1" w:rsidRPr="00747E66" w:rsidRDefault="000D18D1" w:rsidP="000D1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D587AD7" w:rsidR="000D18D1" w:rsidRPr="00B37269" w:rsidRDefault="000D18D1" w:rsidP="000D1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</w:t>
            </w:r>
          </w:p>
        </w:tc>
      </w:tr>
      <w:tr w:rsidR="000D18D1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0D18D1" w:rsidRPr="00747E66" w:rsidRDefault="000D18D1" w:rsidP="000D18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398C55FD" w:rsidR="000D18D1" w:rsidRPr="00B37269" w:rsidRDefault="00C01541" w:rsidP="000D1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koordinasyonu, denetlenmesi ve çalışmaların incelenmesi</w:t>
            </w:r>
            <w:r w:rsidR="00842534">
              <w:rPr>
                <w:rFonts w:ascii="Times New Roman" w:hAnsi="Times New Roman"/>
                <w:sz w:val="20"/>
                <w:szCs w:val="20"/>
              </w:rPr>
              <w:t xml:space="preserve"> ve düzenli periyotlarda birim içi eğitim faaliyetlerini yürütmek</w:t>
            </w:r>
          </w:p>
        </w:tc>
      </w:tr>
      <w:tr w:rsidR="000D18D1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0D18D1" w:rsidRPr="00747E66" w:rsidRDefault="000D18D1" w:rsidP="000D18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0D18D1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4B1FEC88" w:rsidR="000D18D1" w:rsidRPr="00B37269" w:rsidRDefault="00C01541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iş akış ve koordinasyonu sağlamak,</w:t>
            </w:r>
          </w:p>
        </w:tc>
      </w:tr>
      <w:tr w:rsidR="00C01541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24710082" w:rsidR="00C01541" w:rsidRPr="00B37269" w:rsidRDefault="00C01541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yıllık raporlarını incelemek,</w:t>
            </w:r>
          </w:p>
        </w:tc>
      </w:tr>
      <w:tr w:rsidR="00C01541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111E0F88" w:rsidR="00C01541" w:rsidRPr="00B37269" w:rsidRDefault="00C01541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çalışma koşullarının iyileştirilmesi için çalışmalar yürütmek,</w:t>
            </w:r>
          </w:p>
        </w:tc>
      </w:tr>
      <w:tr w:rsidR="00C01541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33228ACB" w:rsidR="00C01541" w:rsidRPr="00B37269" w:rsidRDefault="00423543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sorunlarının raporlanması ve Başkan Yardımcısı ile paylaşılması,</w:t>
            </w:r>
          </w:p>
        </w:tc>
      </w:tr>
      <w:tr w:rsidR="00C01541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2938DBE6" w:rsidR="00C01541" w:rsidRPr="00B37269" w:rsidRDefault="00423543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gelecek vizyonunu hazırlamak ve bu vizyona uygun projeler geliştirmek,</w:t>
            </w:r>
          </w:p>
        </w:tc>
      </w:tr>
      <w:tr w:rsidR="00C01541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50AC7E15" w:rsidR="00C01541" w:rsidRPr="00B37269" w:rsidRDefault="00423543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seçilmesi ve görev dağılımının gerçekleştirilmesi,</w:t>
            </w:r>
          </w:p>
        </w:tc>
      </w:tr>
      <w:tr w:rsidR="00C01541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1D823DA4" w:rsidR="00C01541" w:rsidRPr="00B37269" w:rsidRDefault="00423543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hazırlamış oldukları bilgi, belge ve dokümanların saklanması ve istenildiğinde raporlaştırılması için gerekli alt yapıyı sağlamak,</w:t>
            </w:r>
          </w:p>
        </w:tc>
      </w:tr>
      <w:tr w:rsidR="001423AB" w:rsidRPr="00B37269" w14:paraId="28849D26" w14:textId="77777777" w:rsidTr="00930988">
        <w:tc>
          <w:tcPr>
            <w:tcW w:w="9212" w:type="dxa"/>
            <w:gridSpan w:val="3"/>
            <w:shd w:val="clear" w:color="auto" w:fill="auto"/>
          </w:tcPr>
          <w:p w14:paraId="31731F4D" w14:textId="7D88006E" w:rsidR="001423AB" w:rsidRDefault="001423AB" w:rsidP="004E1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işleyişinin ve koordinasyonunun düzeninin sağlanması, görevli üyelerin motivasyonunun artırılması için eğitimler gerçekleştirmek,</w:t>
            </w:r>
          </w:p>
        </w:tc>
      </w:tr>
      <w:tr w:rsidR="00C01541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C01541" w:rsidRPr="00747E66" w:rsidRDefault="00C01541" w:rsidP="00C015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C01541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573FABC8" w:rsidR="00C01541" w:rsidRPr="00D22D48" w:rsidRDefault="00D22D48" w:rsidP="00D22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</w:t>
            </w:r>
            <w:r w:rsidRPr="00D22D48">
              <w:rPr>
                <w:rFonts w:ascii="Times New Roman" w:hAnsi="Times New Roman"/>
                <w:sz w:val="20"/>
                <w:szCs w:val="20"/>
              </w:rPr>
              <w:t xml:space="preserve"> yetki</w:t>
            </w:r>
            <w:r>
              <w:rPr>
                <w:rFonts w:ascii="Times New Roman" w:hAnsi="Times New Roman"/>
                <w:sz w:val="20"/>
                <w:szCs w:val="20"/>
              </w:rPr>
              <w:t>lisi</w:t>
            </w:r>
            <w:r w:rsidRPr="00D22D48">
              <w:rPr>
                <w:rFonts w:ascii="Times New Roman" w:hAnsi="Times New Roman"/>
                <w:sz w:val="20"/>
                <w:szCs w:val="20"/>
              </w:rPr>
              <w:t>, harcama talimatlarının bütçe ilke ve esaslarına, kanun, tüzük ve yönetmelikler ile diğer mevzuata uygun olmasından, ödeneklerin etkili, ekonomik ve verimli kullanılmasından ve ilgili mevzuata göre yapmaları gereken diğer işlemlerden sorumludur.</w:t>
            </w:r>
          </w:p>
        </w:tc>
      </w:tr>
      <w:tr w:rsidR="00C01541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101B4F1A" w:rsidR="00C01541" w:rsidRPr="00747E66" w:rsidRDefault="00D22D48" w:rsidP="006C55B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</w:t>
            </w:r>
            <w:r w:rsidRPr="00D22D48">
              <w:rPr>
                <w:rFonts w:ascii="Times New Roman" w:hAnsi="Times New Roman"/>
                <w:sz w:val="20"/>
                <w:szCs w:val="20"/>
              </w:rPr>
              <w:t xml:space="preserve"> yetki</w:t>
            </w:r>
            <w:r>
              <w:rPr>
                <w:rFonts w:ascii="Times New Roman" w:hAnsi="Times New Roman"/>
                <w:sz w:val="20"/>
                <w:szCs w:val="20"/>
              </w:rPr>
              <w:t>lisi, üyelik işlemlerinin mevzuata uygun şekilde yerine getirilip getirilmediğini denetlemek v</w:t>
            </w:r>
            <w:r w:rsidR="006C55B7">
              <w:rPr>
                <w:rFonts w:ascii="Times New Roman" w:hAnsi="Times New Roman"/>
                <w:sz w:val="20"/>
                <w:szCs w:val="20"/>
              </w:rPr>
              <w:t>e gerekli iş ve işlemlerin takibini yapmakla sorumludur.</w:t>
            </w:r>
          </w:p>
        </w:tc>
      </w:tr>
      <w:tr w:rsidR="00C01541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3884FDB7" w:rsidR="00C01541" w:rsidRPr="006C55B7" w:rsidRDefault="006C55B7" w:rsidP="006C55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5B7">
              <w:rPr>
                <w:rFonts w:ascii="Times New Roman" w:hAnsi="Times New Roman"/>
                <w:sz w:val="20"/>
                <w:szCs w:val="20"/>
              </w:rPr>
              <w:t xml:space="preserve">Birim yetkilisi, </w:t>
            </w:r>
            <w:r>
              <w:rPr>
                <w:rFonts w:ascii="Times New Roman" w:hAnsi="Times New Roman"/>
                <w:sz w:val="20"/>
                <w:szCs w:val="20"/>
              </w:rPr>
              <w:t>üyelik aidatlarının ve satın alma işlemlerinin mevzuata uygun şekilde yerine getirilip getirilmediğini denetlemek ve gerekli iş ve işlemlerin takibini yapmakla sorumludur.</w:t>
            </w:r>
          </w:p>
        </w:tc>
      </w:tr>
      <w:tr w:rsidR="00C01541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C01541" w:rsidRPr="00747E66" w:rsidRDefault="00C01541" w:rsidP="00C015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C01541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2428260" w:rsidR="00C01541" w:rsidRPr="00D22D48" w:rsidRDefault="00D22D48" w:rsidP="00D22D48">
            <w:pPr>
              <w:rPr>
                <w:rFonts w:ascii="Times New Roman" w:hAnsi="Times New Roman"/>
                <w:sz w:val="20"/>
                <w:szCs w:val="20"/>
              </w:rPr>
            </w:pPr>
            <w:r w:rsidRPr="00D22D48">
              <w:rPr>
                <w:rFonts w:ascii="Times New Roman" w:hAnsi="Times New Roman"/>
                <w:sz w:val="20"/>
                <w:szCs w:val="20"/>
              </w:rPr>
              <w:t>Faaliyetlerinin gerektirdiği her türlü araç, gereç ve malzemeyi kullanabilmek</w:t>
            </w:r>
          </w:p>
        </w:tc>
      </w:tr>
      <w:tr w:rsidR="00C01541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52199F65" w:rsidR="00C01541" w:rsidRPr="00D22D48" w:rsidRDefault="00D22D48" w:rsidP="00D22D48">
            <w:pPr>
              <w:rPr>
                <w:rFonts w:ascii="Times New Roman" w:hAnsi="Times New Roman"/>
                <w:sz w:val="20"/>
                <w:szCs w:val="20"/>
              </w:rPr>
            </w:pPr>
            <w:r w:rsidRPr="00D22D48">
              <w:rPr>
                <w:rFonts w:ascii="Times New Roman" w:hAnsi="Times New Roman"/>
                <w:sz w:val="20"/>
                <w:szCs w:val="20"/>
              </w:rPr>
              <w:t>Muhasebe, üyelik işlemleri ve satın alma işlemlerine yönelik mevzuata ve beceriye sahip olmak,</w:t>
            </w:r>
          </w:p>
        </w:tc>
      </w:tr>
      <w:tr w:rsidR="00C01541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0387252B" w:rsidR="00C01541" w:rsidRPr="00D22D48" w:rsidRDefault="00D22D48" w:rsidP="00D22D48">
            <w:pPr>
              <w:rPr>
                <w:rFonts w:ascii="Times New Roman" w:hAnsi="Times New Roman"/>
                <w:sz w:val="20"/>
                <w:szCs w:val="20"/>
              </w:rPr>
            </w:pPr>
            <w:r w:rsidRPr="00D22D48">
              <w:rPr>
                <w:rFonts w:ascii="Times New Roman" w:hAnsi="Times New Roman"/>
                <w:sz w:val="20"/>
                <w:szCs w:val="20"/>
              </w:rPr>
              <w:t>Etkili iletişim ve personel yönetimi konularında yetkinliğe sahip olmak,</w:t>
            </w: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91DAA"/>
    <w:rsid w:val="000D18D1"/>
    <w:rsid w:val="000D4126"/>
    <w:rsid w:val="000D5A47"/>
    <w:rsid w:val="000D7AE7"/>
    <w:rsid w:val="000E5ACD"/>
    <w:rsid w:val="000F7CE6"/>
    <w:rsid w:val="00132551"/>
    <w:rsid w:val="001423AB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3543"/>
    <w:rsid w:val="00425A56"/>
    <w:rsid w:val="00430114"/>
    <w:rsid w:val="0046487A"/>
    <w:rsid w:val="00474A57"/>
    <w:rsid w:val="00483013"/>
    <w:rsid w:val="004C2645"/>
    <w:rsid w:val="004E12D6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C55B7"/>
    <w:rsid w:val="006D6E09"/>
    <w:rsid w:val="00721350"/>
    <w:rsid w:val="00747E66"/>
    <w:rsid w:val="007B7EF2"/>
    <w:rsid w:val="007C2C5E"/>
    <w:rsid w:val="007C3F26"/>
    <w:rsid w:val="007D2D4C"/>
    <w:rsid w:val="00830F83"/>
    <w:rsid w:val="00842534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01541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22D48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33</cp:revision>
  <cp:lastPrinted>2013-03-21T10:13:00Z</cp:lastPrinted>
  <dcterms:created xsi:type="dcterms:W3CDTF">2013-07-22T07:19:00Z</dcterms:created>
  <dcterms:modified xsi:type="dcterms:W3CDTF">2022-01-18T10:45:00Z</dcterms:modified>
</cp:coreProperties>
</file>